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AFE" w:rsidRPr="004953A1" w:rsidRDefault="003D1AFE" w:rsidP="003D1AFE">
      <w:pPr>
        <w:pStyle w:val="1"/>
        <w:spacing w:beforeLines="100" w:before="312" w:after="312"/>
        <w:ind w:leftChars="200" w:left="420" w:rightChars="200" w:right="420"/>
        <w:rPr>
          <w:rFonts w:ascii="Times New Roman" w:hAnsi="Times New Roman"/>
          <w:sz w:val="44"/>
          <w:szCs w:val="44"/>
        </w:rPr>
      </w:pPr>
      <w:bookmarkStart w:id="0" w:name="_Toc2640"/>
      <w:bookmarkStart w:id="1" w:name="_Toc459393993"/>
      <w:r w:rsidRPr="004953A1">
        <w:rPr>
          <w:rFonts w:ascii="Times New Roman" w:hAnsi="Times New Roman"/>
          <w:sz w:val="44"/>
          <w:szCs w:val="44"/>
        </w:rPr>
        <w:t>西北农林科技大学研究生课程学习</w:t>
      </w:r>
      <w:bookmarkStart w:id="2" w:name="_GoBack"/>
      <w:bookmarkEnd w:id="0"/>
      <w:bookmarkEnd w:id="1"/>
      <w:bookmarkEnd w:id="2"/>
    </w:p>
    <w:p w:rsidR="003D1AFE" w:rsidRPr="004953A1" w:rsidRDefault="003D1AFE" w:rsidP="003D1AFE">
      <w:pPr>
        <w:pStyle w:val="1"/>
        <w:spacing w:beforeLines="100" w:before="312" w:after="312"/>
        <w:ind w:leftChars="200" w:left="420" w:rightChars="200" w:right="420"/>
        <w:rPr>
          <w:rFonts w:ascii="Times New Roman" w:hAnsi="Times New Roman"/>
          <w:sz w:val="44"/>
          <w:szCs w:val="44"/>
        </w:rPr>
      </w:pPr>
      <w:bookmarkStart w:id="3" w:name="_Toc26245"/>
      <w:bookmarkStart w:id="4" w:name="_Toc459393994"/>
      <w:r w:rsidRPr="004953A1">
        <w:rPr>
          <w:rFonts w:ascii="Times New Roman" w:hAnsi="Times New Roman"/>
          <w:sz w:val="44"/>
          <w:szCs w:val="44"/>
        </w:rPr>
        <w:t>管理工作的若干暂行规定</w:t>
      </w:r>
      <w:bookmarkEnd w:id="3"/>
      <w:bookmarkEnd w:id="4"/>
    </w:p>
    <w:p w:rsidR="003D1AFE" w:rsidRPr="004953A1" w:rsidRDefault="003D1AFE" w:rsidP="003D1AFE">
      <w:pPr>
        <w:pStyle w:val="21"/>
        <w:spacing w:beforeLines="150" w:before="468" w:afterLines="150" w:after="468"/>
        <w:rPr>
          <w:rFonts w:ascii="Times New Roman" w:eastAsia="仿宋_GB2312" w:hAnsi="Times New Roman" w:cs="Times New Roman"/>
          <w:sz w:val="30"/>
          <w:szCs w:val="30"/>
        </w:rPr>
      </w:pPr>
      <w:bookmarkStart w:id="5" w:name="_Toc251"/>
      <w:bookmarkStart w:id="6" w:name="_Toc459393995"/>
      <w:r w:rsidRPr="004953A1">
        <w:rPr>
          <w:rFonts w:ascii="Times New Roman" w:eastAsia="仿宋_GB2312" w:hAnsi="Times New Roman" w:cs="Times New Roman"/>
          <w:sz w:val="30"/>
          <w:szCs w:val="30"/>
        </w:rPr>
        <w:t>研发</w:t>
      </w:r>
      <w:r w:rsidRPr="004953A1">
        <w:rPr>
          <w:rFonts w:ascii="Times New Roman" w:eastAsia="仿宋_GB2312" w:hAnsi="Times New Roman" w:cs="Times New Roman"/>
          <w:sz w:val="30"/>
          <w:szCs w:val="30"/>
        </w:rPr>
        <w:t>[2005]025</w:t>
      </w:r>
      <w:r w:rsidRPr="004953A1">
        <w:rPr>
          <w:rFonts w:ascii="Times New Roman" w:eastAsia="仿宋_GB2312" w:hAnsi="Times New Roman" w:cs="Times New Roman"/>
          <w:sz w:val="30"/>
          <w:szCs w:val="30"/>
        </w:rPr>
        <w:t>号</w:t>
      </w:r>
      <w:bookmarkEnd w:id="5"/>
      <w:bookmarkEnd w:id="6"/>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为了加强我校研究生课程学习管理工作，结合我校研究生培养工作的实际，现将我校研究生课程学习管理工作的若干问题规定如下：</w:t>
      </w:r>
    </w:p>
    <w:p w:rsidR="003D1AFE" w:rsidRPr="004953A1" w:rsidRDefault="003D1AFE" w:rsidP="003D1AFE">
      <w:pPr>
        <w:adjustRightInd w:val="0"/>
        <w:snapToGrid w:val="0"/>
        <w:spacing w:beforeLines="50" w:before="156" w:afterLines="50" w:after="156" w:line="550" w:lineRule="exact"/>
        <w:ind w:firstLineChars="200" w:firstLine="640"/>
        <w:rPr>
          <w:rFonts w:eastAsia="黑体"/>
          <w:color w:val="000000"/>
          <w:kern w:val="0"/>
          <w:sz w:val="32"/>
          <w:szCs w:val="32"/>
        </w:rPr>
      </w:pPr>
      <w:r w:rsidRPr="004953A1">
        <w:rPr>
          <w:rFonts w:eastAsia="黑体"/>
          <w:color w:val="000000"/>
          <w:kern w:val="0"/>
          <w:sz w:val="32"/>
          <w:szCs w:val="32"/>
        </w:rPr>
        <w:t>一、培养计划</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研究生培养计划是导师培养研究生，对其在规定的学制年限内的课程学习、科研论文工作等做出的详细计划和安排。培养计划在研究生入学后，由研究生指导教师根据《西北农林科技大学博士、硕士学位研究生培养方案》中相应专业的具体要求，以及每学年全校计划开设的研究生课程目录，在全面了解研究生情况后制订。研究生培养计划应在研究生入学后一周内制订完毕。研究生培养计划包括课程学习计划和科研论文工作计划两部分。</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（一）课程学习计划</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1</w:t>
      </w:r>
      <w:r w:rsidRPr="004953A1">
        <w:rPr>
          <w:color w:val="000000"/>
          <w:kern w:val="0"/>
          <w:sz w:val="30"/>
          <w:szCs w:val="30"/>
        </w:rPr>
        <w:t>．课程学习计划的制订</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制订研究生培养计划时首先应制订课程学习计划。研究生在指导教师的指导下，根据《西北农林科技大学博士、硕士学位研究生培养方案》中相应专业的具体要求，以及学校对研究生课程开设的具体安排计划（或称课程开设目录），全面考虑，合理安排自己的全部课程学习计划，填写《西北农林科技大学学位研究生课程学习</w:t>
      </w:r>
      <w:r w:rsidRPr="004953A1">
        <w:rPr>
          <w:color w:val="000000"/>
          <w:kern w:val="0"/>
          <w:sz w:val="30"/>
          <w:szCs w:val="30"/>
        </w:rPr>
        <w:lastRenderedPageBreak/>
        <w:t>计划》，一式四份，由学院主管院长审批后，一份报送研究生院培养与学位管理处，其余三份分别留学院、导师和研究生。</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2</w:t>
      </w:r>
      <w:r w:rsidRPr="004953A1">
        <w:rPr>
          <w:color w:val="000000"/>
          <w:kern w:val="0"/>
          <w:sz w:val="30"/>
          <w:szCs w:val="30"/>
        </w:rPr>
        <w:t>．课程学习计划的执行</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研究生课程学习计划制订完毕后，将按照计划的要求实施其学习过程。各学院研究生秘书将研究生课程学习计划收齐后，根据研究生课程学习计划中各门课程的学习时间安排、组织教师，安排专业课程教学工作；统计各门课程的选课研究生人数，形成选课研究生名单，向专业课程任课教师及时提供各专业课程选课研究生名单，向研究生院培养与学位管理处提供公共课程选课研究生名单，并负责课程成绩登记、检查监督计划的落实情况。</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导师根据研究生课程学习计划了解研究生培养进度，合理安排培养工作。</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研究生院培养与学位管理处根据各学院提供的公共课程选课研究生情况，协调有关单位组织师资，安排公共课程教学工作，向公共课程任课教师提供选课研究生名单，安排确定研究生课程学习和考试资格。并检查落实课程学习计划的执行。</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同等学力在职申请硕士学位人员学习研究生课程时，须办理选课手续才能取得课程学习和考试资格。</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（二）科研论文工作计划</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研究生应在导师的指导下，根据《西北农林科技大学博士、硕士学位研究生培养方案》和学校学位论文工作的有关要求，制订相应的科研论文工作计划。科研论文工作计划主要包括：研究方向查新、确定研究内容与研究题目、开题论证、研究内容与时间安排、答辩时间等。</w:t>
      </w:r>
    </w:p>
    <w:p w:rsidR="003D1AFE" w:rsidRPr="004953A1" w:rsidRDefault="003D1AFE" w:rsidP="003D1AFE">
      <w:pPr>
        <w:adjustRightInd w:val="0"/>
        <w:snapToGrid w:val="0"/>
        <w:spacing w:beforeLines="50" w:before="156" w:afterLines="50" w:after="156" w:line="550" w:lineRule="exact"/>
        <w:ind w:firstLineChars="200" w:firstLine="640"/>
        <w:rPr>
          <w:rFonts w:eastAsia="黑体"/>
          <w:color w:val="000000"/>
          <w:kern w:val="0"/>
          <w:sz w:val="32"/>
          <w:szCs w:val="32"/>
        </w:rPr>
      </w:pPr>
      <w:r w:rsidRPr="004953A1">
        <w:rPr>
          <w:rFonts w:eastAsia="黑体"/>
          <w:color w:val="000000"/>
          <w:kern w:val="0"/>
          <w:sz w:val="32"/>
          <w:szCs w:val="32"/>
        </w:rPr>
        <w:t>二、课程更改</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（一）更改手续</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研究生课程学习计划制订好以后，研究生应按照课程学习计划中的课程学习时间安排，按时参加学习和考核。研究生课程学习计划中所选课程名称和课程学习时间一般不得随意更改。但因特殊原因需要变动时</w:t>
      </w:r>
      <w:r w:rsidRPr="004953A1">
        <w:rPr>
          <w:color w:val="000000"/>
          <w:kern w:val="0"/>
          <w:sz w:val="30"/>
          <w:szCs w:val="30"/>
        </w:rPr>
        <w:t>,</w:t>
      </w:r>
      <w:r w:rsidRPr="004953A1">
        <w:rPr>
          <w:color w:val="000000"/>
          <w:kern w:val="0"/>
          <w:sz w:val="30"/>
          <w:szCs w:val="30"/>
        </w:rPr>
        <w:t>研究生应在所选课程开课</w:t>
      </w:r>
      <w:r w:rsidRPr="004953A1">
        <w:rPr>
          <w:color w:val="000000"/>
          <w:kern w:val="0"/>
          <w:sz w:val="30"/>
          <w:szCs w:val="30"/>
        </w:rPr>
        <w:t>2</w:t>
      </w:r>
      <w:r w:rsidRPr="004953A1">
        <w:rPr>
          <w:color w:val="000000"/>
          <w:kern w:val="0"/>
          <w:sz w:val="30"/>
          <w:szCs w:val="30"/>
        </w:rPr>
        <w:t>周内提出更改申请，到所在学院领取并填写《西北农林科技大学研究生课程学习更改单》交所在学院。由学院汇总后报研究生院培养与学位管理处。</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（二）更改门次和要求</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研究生在课程学习期间，课程学习计划的制订应在导师指导下认真进行，合理安排好自己的学习，尽量减少课程更改。每人每学期更改公共课程门数不得超过</w:t>
      </w:r>
      <w:r w:rsidRPr="004953A1">
        <w:rPr>
          <w:color w:val="000000"/>
          <w:kern w:val="0"/>
          <w:sz w:val="30"/>
          <w:szCs w:val="30"/>
        </w:rPr>
        <w:t>2</w:t>
      </w:r>
      <w:r w:rsidRPr="004953A1">
        <w:rPr>
          <w:color w:val="000000"/>
          <w:kern w:val="0"/>
          <w:sz w:val="30"/>
          <w:szCs w:val="30"/>
        </w:rPr>
        <w:t>门次，所选的课程均须按时参加考核。未办理课程更改手续</w:t>
      </w:r>
      <w:r w:rsidRPr="004953A1">
        <w:rPr>
          <w:color w:val="000000"/>
          <w:kern w:val="0"/>
          <w:sz w:val="30"/>
          <w:szCs w:val="30"/>
        </w:rPr>
        <w:t xml:space="preserve">, </w:t>
      </w:r>
      <w:r w:rsidRPr="004953A1">
        <w:rPr>
          <w:color w:val="000000"/>
          <w:kern w:val="0"/>
          <w:sz w:val="30"/>
          <w:szCs w:val="30"/>
        </w:rPr>
        <w:t>擅自增选的课程（即本人培养计划中未列出的课程）不允许参加考核，私自参加考核者，结果无效，并按违反考场纪律论处；未办理课程更改手续，擅自取消课程（即取消本人培养计划中列出的某门课程）而不参加考试者，按照旷考论处，该门课程按不及格对待。</w:t>
      </w:r>
    </w:p>
    <w:p w:rsidR="003D1AFE" w:rsidRPr="004953A1" w:rsidRDefault="003D1AFE" w:rsidP="003D1AFE">
      <w:pPr>
        <w:adjustRightInd w:val="0"/>
        <w:snapToGrid w:val="0"/>
        <w:spacing w:beforeLines="50" w:before="156" w:afterLines="50" w:after="156" w:line="550" w:lineRule="exact"/>
        <w:ind w:firstLineChars="200" w:firstLine="640"/>
        <w:rPr>
          <w:rFonts w:eastAsia="黑体"/>
          <w:color w:val="000000"/>
          <w:kern w:val="0"/>
          <w:sz w:val="32"/>
          <w:szCs w:val="32"/>
        </w:rPr>
      </w:pPr>
      <w:r w:rsidRPr="004953A1">
        <w:rPr>
          <w:rFonts w:eastAsia="黑体"/>
          <w:color w:val="000000"/>
          <w:kern w:val="0"/>
          <w:sz w:val="32"/>
          <w:szCs w:val="32"/>
        </w:rPr>
        <w:t>三、课程补修</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跨专业报考和同等学力报考的博士研究生</w:t>
      </w:r>
      <w:r w:rsidRPr="004953A1">
        <w:rPr>
          <w:color w:val="000000"/>
          <w:kern w:val="0"/>
          <w:sz w:val="30"/>
          <w:szCs w:val="30"/>
        </w:rPr>
        <w:t>,</w:t>
      </w:r>
      <w:r w:rsidRPr="004953A1">
        <w:rPr>
          <w:color w:val="000000"/>
          <w:kern w:val="0"/>
          <w:sz w:val="30"/>
          <w:szCs w:val="30"/>
        </w:rPr>
        <w:t>在学期间必须补修该专业硕士阶段主干课程（专业学位课和对论文工作有重要影响的专业基础课）；同等学力报考的硕士研究生在学期间必须补修该专业本科阶段主干课程。</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补修课程门数为</w:t>
      </w:r>
      <w:r w:rsidRPr="004953A1">
        <w:rPr>
          <w:color w:val="000000"/>
          <w:kern w:val="0"/>
          <w:sz w:val="30"/>
          <w:szCs w:val="30"/>
        </w:rPr>
        <w:t>3</w:t>
      </w:r>
      <w:r w:rsidRPr="004953A1">
        <w:rPr>
          <w:color w:val="000000"/>
          <w:kern w:val="0"/>
          <w:sz w:val="30"/>
          <w:szCs w:val="30"/>
        </w:rPr>
        <w:t>～</w:t>
      </w:r>
      <w:r w:rsidRPr="004953A1">
        <w:rPr>
          <w:color w:val="000000"/>
          <w:kern w:val="0"/>
          <w:sz w:val="30"/>
          <w:szCs w:val="30"/>
        </w:rPr>
        <w:t>5</w:t>
      </w:r>
      <w:r w:rsidRPr="004953A1">
        <w:rPr>
          <w:color w:val="000000"/>
          <w:kern w:val="0"/>
          <w:sz w:val="30"/>
          <w:szCs w:val="30"/>
        </w:rPr>
        <w:t>门。补修课程的考试与正式课程考试相同，试卷及成绩单上须注明补修字样。试卷归入研究生个人学籍档案，成绩记入培养计划中，但不计学分。</w:t>
      </w:r>
    </w:p>
    <w:p w:rsidR="003D1AFE" w:rsidRPr="004953A1" w:rsidRDefault="003D1AFE" w:rsidP="003D1AFE">
      <w:pPr>
        <w:adjustRightInd w:val="0"/>
        <w:snapToGrid w:val="0"/>
        <w:spacing w:beforeLines="50" w:before="156" w:afterLines="50" w:after="156" w:line="550" w:lineRule="exact"/>
        <w:ind w:firstLineChars="200" w:firstLine="640"/>
        <w:rPr>
          <w:rFonts w:eastAsia="黑体"/>
          <w:color w:val="000000"/>
          <w:kern w:val="0"/>
          <w:sz w:val="32"/>
          <w:szCs w:val="32"/>
        </w:rPr>
      </w:pPr>
      <w:r w:rsidRPr="004953A1">
        <w:rPr>
          <w:rFonts w:eastAsia="黑体"/>
          <w:color w:val="000000"/>
          <w:kern w:val="0"/>
          <w:sz w:val="32"/>
          <w:szCs w:val="32"/>
        </w:rPr>
        <w:t>四、课程免修</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（一）研究生在入学前</w:t>
      </w:r>
      <w:r w:rsidRPr="004953A1">
        <w:rPr>
          <w:color w:val="000000"/>
          <w:kern w:val="0"/>
          <w:sz w:val="30"/>
          <w:szCs w:val="30"/>
        </w:rPr>
        <w:t>4</w:t>
      </w:r>
      <w:r w:rsidRPr="004953A1">
        <w:rPr>
          <w:color w:val="000000"/>
          <w:kern w:val="0"/>
          <w:sz w:val="30"/>
          <w:szCs w:val="30"/>
        </w:rPr>
        <w:t>年内</w:t>
      </w:r>
      <w:r w:rsidRPr="004953A1">
        <w:rPr>
          <w:color w:val="000000"/>
          <w:kern w:val="0"/>
          <w:sz w:val="30"/>
          <w:szCs w:val="30"/>
        </w:rPr>
        <w:t>,</w:t>
      </w:r>
      <w:r w:rsidRPr="004953A1">
        <w:rPr>
          <w:color w:val="000000"/>
          <w:kern w:val="0"/>
          <w:sz w:val="30"/>
          <w:szCs w:val="30"/>
        </w:rPr>
        <w:t>经过正式手续批准</w:t>
      </w:r>
      <w:r w:rsidRPr="004953A1">
        <w:rPr>
          <w:color w:val="000000"/>
          <w:kern w:val="0"/>
          <w:sz w:val="30"/>
          <w:szCs w:val="30"/>
        </w:rPr>
        <w:t>,</w:t>
      </w:r>
      <w:r w:rsidRPr="004953A1">
        <w:rPr>
          <w:color w:val="000000"/>
          <w:kern w:val="0"/>
          <w:sz w:val="30"/>
          <w:szCs w:val="30"/>
        </w:rPr>
        <w:t>选修过我校研究生课程</w:t>
      </w:r>
      <w:r w:rsidRPr="004953A1">
        <w:rPr>
          <w:color w:val="000000"/>
          <w:kern w:val="0"/>
          <w:sz w:val="30"/>
          <w:szCs w:val="30"/>
        </w:rPr>
        <w:t>,</w:t>
      </w:r>
      <w:r w:rsidRPr="004953A1">
        <w:rPr>
          <w:color w:val="000000"/>
          <w:kern w:val="0"/>
          <w:sz w:val="30"/>
          <w:szCs w:val="30"/>
        </w:rPr>
        <w:t>考试成绩合格者</w:t>
      </w:r>
      <w:r w:rsidRPr="004953A1">
        <w:rPr>
          <w:color w:val="000000"/>
          <w:kern w:val="0"/>
          <w:sz w:val="30"/>
          <w:szCs w:val="30"/>
        </w:rPr>
        <w:t>(70</w:t>
      </w:r>
      <w:r w:rsidRPr="004953A1">
        <w:rPr>
          <w:color w:val="000000"/>
          <w:kern w:val="0"/>
          <w:sz w:val="30"/>
          <w:szCs w:val="30"/>
        </w:rPr>
        <w:t>分及以上</w:t>
      </w:r>
      <w:r w:rsidRPr="004953A1">
        <w:rPr>
          <w:color w:val="000000"/>
          <w:kern w:val="0"/>
          <w:sz w:val="30"/>
          <w:szCs w:val="30"/>
        </w:rPr>
        <w:t>),</w:t>
      </w:r>
      <w:r w:rsidRPr="004953A1">
        <w:rPr>
          <w:color w:val="000000"/>
          <w:kern w:val="0"/>
          <w:sz w:val="30"/>
          <w:szCs w:val="30"/>
        </w:rPr>
        <w:t>由研究生本人提出申请</w:t>
      </w:r>
      <w:r w:rsidRPr="004953A1">
        <w:rPr>
          <w:color w:val="000000"/>
          <w:kern w:val="0"/>
          <w:sz w:val="30"/>
          <w:szCs w:val="30"/>
        </w:rPr>
        <w:t>,</w:t>
      </w:r>
      <w:r w:rsidRPr="004953A1">
        <w:rPr>
          <w:color w:val="000000"/>
          <w:kern w:val="0"/>
          <w:sz w:val="30"/>
          <w:szCs w:val="30"/>
        </w:rPr>
        <w:t>导师同意</w:t>
      </w:r>
      <w:r w:rsidRPr="004953A1">
        <w:rPr>
          <w:color w:val="000000"/>
          <w:kern w:val="0"/>
          <w:sz w:val="30"/>
          <w:szCs w:val="30"/>
        </w:rPr>
        <w:t>,</w:t>
      </w:r>
      <w:r w:rsidRPr="004953A1">
        <w:rPr>
          <w:color w:val="000000"/>
          <w:kern w:val="0"/>
          <w:sz w:val="30"/>
          <w:szCs w:val="30"/>
        </w:rPr>
        <w:t>学院主管领导签署意见，经研究生院培养与学位管理处审查批准</w:t>
      </w:r>
      <w:r w:rsidRPr="004953A1">
        <w:rPr>
          <w:color w:val="000000"/>
          <w:kern w:val="0"/>
          <w:sz w:val="30"/>
          <w:szCs w:val="30"/>
        </w:rPr>
        <w:t>,</w:t>
      </w:r>
      <w:r w:rsidRPr="004953A1">
        <w:rPr>
          <w:color w:val="000000"/>
          <w:kern w:val="0"/>
          <w:sz w:val="30"/>
          <w:szCs w:val="30"/>
        </w:rPr>
        <w:t>可不参加该门课程的学习和考试</w:t>
      </w:r>
      <w:r w:rsidRPr="004953A1">
        <w:rPr>
          <w:color w:val="000000"/>
          <w:kern w:val="0"/>
          <w:sz w:val="30"/>
          <w:szCs w:val="30"/>
        </w:rPr>
        <w:t>,</w:t>
      </w:r>
      <w:r w:rsidRPr="004953A1">
        <w:rPr>
          <w:color w:val="000000"/>
          <w:kern w:val="0"/>
          <w:sz w:val="30"/>
          <w:szCs w:val="30"/>
        </w:rPr>
        <w:t>原课程考试成绩和学分予以认可。</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（二）研究生在入学前</w:t>
      </w:r>
      <w:r w:rsidRPr="004953A1">
        <w:rPr>
          <w:color w:val="000000"/>
          <w:kern w:val="0"/>
          <w:sz w:val="30"/>
          <w:szCs w:val="30"/>
        </w:rPr>
        <w:t>4</w:t>
      </w:r>
      <w:r w:rsidRPr="004953A1">
        <w:rPr>
          <w:color w:val="000000"/>
          <w:kern w:val="0"/>
          <w:sz w:val="30"/>
          <w:szCs w:val="30"/>
        </w:rPr>
        <w:t>年内自学过或在外校进修过某门研究生课程</w:t>
      </w:r>
      <w:r w:rsidRPr="004953A1">
        <w:rPr>
          <w:color w:val="000000"/>
          <w:kern w:val="0"/>
          <w:sz w:val="30"/>
          <w:szCs w:val="30"/>
        </w:rPr>
        <w:t>,</w:t>
      </w:r>
      <w:r w:rsidRPr="004953A1">
        <w:rPr>
          <w:color w:val="000000"/>
          <w:kern w:val="0"/>
          <w:sz w:val="30"/>
          <w:szCs w:val="30"/>
        </w:rPr>
        <w:t>入学后</w:t>
      </w:r>
      <w:r w:rsidRPr="004953A1">
        <w:rPr>
          <w:color w:val="000000"/>
          <w:kern w:val="0"/>
          <w:sz w:val="30"/>
          <w:szCs w:val="30"/>
        </w:rPr>
        <w:t>,</w:t>
      </w:r>
      <w:r w:rsidRPr="004953A1">
        <w:rPr>
          <w:color w:val="000000"/>
          <w:kern w:val="0"/>
          <w:sz w:val="30"/>
          <w:szCs w:val="30"/>
        </w:rPr>
        <w:t>其课程如要求免修，应由研究生本人申请，并提供自学或在其它具有研究生培养资格的高校学习的书面作业或考试试卷及成绩证明，经任课教师审核，导师同意</w:t>
      </w:r>
      <w:r w:rsidRPr="004953A1">
        <w:rPr>
          <w:color w:val="000000"/>
          <w:kern w:val="0"/>
          <w:sz w:val="30"/>
          <w:szCs w:val="30"/>
        </w:rPr>
        <w:t xml:space="preserve">, </w:t>
      </w:r>
      <w:r w:rsidRPr="004953A1">
        <w:rPr>
          <w:color w:val="000000"/>
          <w:kern w:val="0"/>
          <w:sz w:val="30"/>
          <w:szCs w:val="30"/>
        </w:rPr>
        <w:t>学院主管领导签署意见，研究生院批准后</w:t>
      </w:r>
      <w:r w:rsidRPr="004953A1">
        <w:rPr>
          <w:color w:val="000000"/>
          <w:kern w:val="0"/>
          <w:sz w:val="30"/>
          <w:szCs w:val="30"/>
        </w:rPr>
        <w:t>,</w:t>
      </w:r>
      <w:r w:rsidRPr="004953A1">
        <w:rPr>
          <w:color w:val="000000"/>
          <w:kern w:val="0"/>
          <w:sz w:val="30"/>
          <w:szCs w:val="30"/>
        </w:rPr>
        <w:t>可不参加该门课程的学习</w:t>
      </w:r>
      <w:r w:rsidRPr="004953A1">
        <w:rPr>
          <w:color w:val="000000"/>
          <w:kern w:val="0"/>
          <w:sz w:val="30"/>
          <w:szCs w:val="30"/>
        </w:rPr>
        <w:t>,</w:t>
      </w:r>
      <w:r w:rsidRPr="004953A1">
        <w:rPr>
          <w:color w:val="000000"/>
          <w:kern w:val="0"/>
          <w:sz w:val="30"/>
          <w:szCs w:val="30"/>
        </w:rPr>
        <w:t>但必须随同级研究生参加该门课程的结业考试。</w:t>
      </w:r>
    </w:p>
    <w:p w:rsidR="003D1AFE" w:rsidRPr="004953A1" w:rsidRDefault="003D1AFE" w:rsidP="003D1AFE">
      <w:pPr>
        <w:adjustRightInd w:val="0"/>
        <w:snapToGrid w:val="0"/>
        <w:spacing w:beforeLines="50" w:before="156" w:afterLines="50" w:after="156" w:line="550" w:lineRule="exact"/>
        <w:ind w:firstLineChars="200" w:firstLine="640"/>
        <w:rPr>
          <w:rFonts w:eastAsia="黑体"/>
          <w:color w:val="000000"/>
          <w:kern w:val="0"/>
          <w:sz w:val="32"/>
          <w:szCs w:val="32"/>
        </w:rPr>
      </w:pPr>
      <w:r w:rsidRPr="004953A1">
        <w:rPr>
          <w:rFonts w:eastAsia="黑体"/>
          <w:color w:val="000000"/>
          <w:kern w:val="0"/>
          <w:sz w:val="32"/>
          <w:szCs w:val="32"/>
        </w:rPr>
        <w:t>五、外出学习课程</w:t>
      </w:r>
    </w:p>
    <w:p w:rsidR="003D1AFE" w:rsidRPr="004953A1" w:rsidRDefault="003D1AFE" w:rsidP="003D1AFE">
      <w:pPr>
        <w:adjustRightInd w:val="0"/>
        <w:snapToGrid w:val="0"/>
        <w:spacing w:line="550" w:lineRule="exact"/>
        <w:ind w:firstLineChars="200" w:firstLine="600"/>
        <w:rPr>
          <w:color w:val="000000"/>
          <w:kern w:val="0"/>
          <w:sz w:val="30"/>
          <w:szCs w:val="30"/>
        </w:rPr>
      </w:pPr>
      <w:r w:rsidRPr="004953A1">
        <w:rPr>
          <w:color w:val="000000"/>
          <w:kern w:val="0"/>
          <w:sz w:val="30"/>
          <w:szCs w:val="30"/>
        </w:rPr>
        <w:t>凡我校正在开设或拟开设的研究生课程，研究生应在我校选课学习，不得外出学习课程。但对于个别因特殊原因不能开设的研究生课程，若学科专业研究确实需要，由研究生本人申请，经导师、学院主管院长同意，报研究生院培养与学位管理处审批后，可到有关具有研究生培养资格的高校学习相关课程，由对方研究生工作主管部门提供考试试卷和成绩证明，成绩方能认可，并取得相应学分；对于因科研工作需要在外校学习的课程，办理手续方式同上。外出学习研究生课程的一切费用由研究生自负。</w:t>
      </w:r>
    </w:p>
    <w:p w:rsidR="003D1AFE" w:rsidRPr="004953A1" w:rsidRDefault="003D1AFE" w:rsidP="003D1AFE">
      <w:pPr>
        <w:adjustRightInd w:val="0"/>
        <w:snapToGrid w:val="0"/>
        <w:spacing w:beforeLines="50" w:before="156" w:afterLines="50" w:after="156" w:line="550" w:lineRule="exact"/>
        <w:ind w:firstLineChars="200" w:firstLine="640"/>
        <w:rPr>
          <w:rFonts w:eastAsia="黑体"/>
          <w:color w:val="000000"/>
          <w:kern w:val="0"/>
          <w:sz w:val="32"/>
          <w:szCs w:val="32"/>
        </w:rPr>
      </w:pPr>
      <w:r w:rsidRPr="004953A1">
        <w:rPr>
          <w:rFonts w:eastAsia="黑体"/>
          <w:color w:val="000000"/>
          <w:kern w:val="0"/>
          <w:sz w:val="32"/>
          <w:szCs w:val="32"/>
        </w:rPr>
        <w:t>六、本规定自发文之日起执行，由研究生院负责解释。</w:t>
      </w:r>
    </w:p>
    <w:p w:rsidR="003D1AFE" w:rsidRPr="004953A1" w:rsidRDefault="003D1AFE" w:rsidP="003D1AFE">
      <w:pPr>
        <w:spacing w:line="560" w:lineRule="exact"/>
        <w:rPr>
          <w:rFonts w:eastAsia="仿宋"/>
          <w:b/>
          <w:color w:val="FF0000"/>
          <w:sz w:val="30"/>
          <w:szCs w:val="30"/>
        </w:rPr>
      </w:pPr>
      <w:r w:rsidRPr="004953A1">
        <w:rPr>
          <w:rFonts w:eastAsia="仿宋"/>
          <w:sz w:val="30"/>
          <w:szCs w:val="30"/>
        </w:rPr>
        <w:t xml:space="preserve"> </w:t>
      </w:r>
    </w:p>
    <w:p w:rsidR="001F3D81" w:rsidRPr="003D1AFE" w:rsidRDefault="001F3D81"/>
    <w:sectPr w:rsidR="001F3D81" w:rsidRPr="003D1AFE" w:rsidSect="003D1AFE">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FE"/>
    <w:rsid w:val="0003270B"/>
    <w:rsid w:val="000D410F"/>
    <w:rsid w:val="000F7964"/>
    <w:rsid w:val="00143ACA"/>
    <w:rsid w:val="00176BAD"/>
    <w:rsid w:val="001E05AE"/>
    <w:rsid w:val="001F3D81"/>
    <w:rsid w:val="00311D32"/>
    <w:rsid w:val="003758BA"/>
    <w:rsid w:val="003D1AFE"/>
    <w:rsid w:val="003F13C0"/>
    <w:rsid w:val="00413AFC"/>
    <w:rsid w:val="004441D1"/>
    <w:rsid w:val="00490A83"/>
    <w:rsid w:val="004A6E0B"/>
    <w:rsid w:val="004C1CEF"/>
    <w:rsid w:val="004F354E"/>
    <w:rsid w:val="00591DF7"/>
    <w:rsid w:val="005D2EE1"/>
    <w:rsid w:val="005E64A3"/>
    <w:rsid w:val="00604FA1"/>
    <w:rsid w:val="00672B68"/>
    <w:rsid w:val="006853D2"/>
    <w:rsid w:val="00707268"/>
    <w:rsid w:val="00767B45"/>
    <w:rsid w:val="007A5B96"/>
    <w:rsid w:val="00847014"/>
    <w:rsid w:val="008A5BE4"/>
    <w:rsid w:val="008B4FCA"/>
    <w:rsid w:val="0092099C"/>
    <w:rsid w:val="009D2EDC"/>
    <w:rsid w:val="00A118A4"/>
    <w:rsid w:val="00AF63BC"/>
    <w:rsid w:val="00B40C16"/>
    <w:rsid w:val="00BB4341"/>
    <w:rsid w:val="00BC6252"/>
    <w:rsid w:val="00BE0DE1"/>
    <w:rsid w:val="00BE68CC"/>
    <w:rsid w:val="00C059C0"/>
    <w:rsid w:val="00C54904"/>
    <w:rsid w:val="00C77A59"/>
    <w:rsid w:val="00CD74F1"/>
    <w:rsid w:val="00D21959"/>
    <w:rsid w:val="00D47BE7"/>
    <w:rsid w:val="00D73615"/>
    <w:rsid w:val="00D93A9E"/>
    <w:rsid w:val="00E0209D"/>
    <w:rsid w:val="00E11459"/>
    <w:rsid w:val="00E46750"/>
    <w:rsid w:val="00EA1ACD"/>
    <w:rsid w:val="00F200D0"/>
    <w:rsid w:val="00F61339"/>
    <w:rsid w:val="00FB4F3A"/>
    <w:rsid w:val="00FC206A"/>
    <w:rsid w:val="00FF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AFE"/>
    <w:pPr>
      <w:widowControl w:val="0"/>
      <w:jc w:val="both"/>
    </w:pPr>
    <w:rPr>
      <w:rFonts w:ascii="Times New Roman" w:eastAsia="宋体" w:hAnsi="Times New Roman" w:cs="Times New Roman"/>
    </w:rPr>
  </w:style>
  <w:style w:type="paragraph" w:styleId="1">
    <w:name w:val="heading 1"/>
    <w:basedOn w:val="a"/>
    <w:next w:val="a"/>
    <w:link w:val="1Char"/>
    <w:uiPriority w:val="99"/>
    <w:qFormat/>
    <w:rsid w:val="003D1AFE"/>
    <w:pPr>
      <w:widowControl/>
      <w:spacing w:beforeLines="150" w:afterLines="100" w:line="560" w:lineRule="exact"/>
      <w:jc w:val="center"/>
      <w:outlineLvl w:val="0"/>
    </w:pPr>
    <w:rPr>
      <w:rFonts w:ascii="宋体" w:eastAsia="黑体" w:hAnsi="宋体"/>
      <w:b/>
      <w:bCs/>
      <w:kern w:val="36"/>
      <w:sz w:val="48"/>
      <w:szCs w:val="48"/>
    </w:rPr>
  </w:style>
  <w:style w:type="paragraph" w:styleId="2">
    <w:name w:val="heading 2"/>
    <w:basedOn w:val="a"/>
    <w:next w:val="a"/>
    <w:link w:val="2Char"/>
    <w:uiPriority w:val="9"/>
    <w:semiHidden/>
    <w:unhideWhenUsed/>
    <w:qFormat/>
    <w:rsid w:val="003D1AF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D1AFE"/>
    <w:rPr>
      <w:rFonts w:ascii="宋体" w:eastAsia="黑体" w:hAnsi="宋体" w:cs="Times New Roman"/>
      <w:b/>
      <w:bCs/>
      <w:kern w:val="36"/>
      <w:sz w:val="48"/>
      <w:szCs w:val="48"/>
    </w:rPr>
  </w:style>
  <w:style w:type="paragraph" w:customStyle="1" w:styleId="21">
    <w:name w:val="样式 标题 2 + 段后: 1 行"/>
    <w:basedOn w:val="2"/>
    <w:uiPriority w:val="99"/>
    <w:rsid w:val="003D1AFE"/>
    <w:pPr>
      <w:spacing w:beforeLines="100" w:before="0" w:afterLines="200" w:after="0" w:line="560" w:lineRule="exact"/>
      <w:jc w:val="center"/>
    </w:pPr>
    <w:rPr>
      <w:rFonts w:ascii="Cambria" w:eastAsia="宋体" w:hAnsi="Cambria" w:cs="宋体"/>
      <w:kern w:val="0"/>
      <w:szCs w:val="20"/>
    </w:rPr>
  </w:style>
  <w:style w:type="character" w:customStyle="1" w:styleId="2Char">
    <w:name w:val="标题 2 Char"/>
    <w:basedOn w:val="a0"/>
    <w:link w:val="2"/>
    <w:uiPriority w:val="9"/>
    <w:semiHidden/>
    <w:rsid w:val="003D1AFE"/>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AFE"/>
    <w:pPr>
      <w:widowControl w:val="0"/>
      <w:jc w:val="both"/>
    </w:pPr>
    <w:rPr>
      <w:rFonts w:ascii="Times New Roman" w:eastAsia="宋体" w:hAnsi="Times New Roman" w:cs="Times New Roman"/>
    </w:rPr>
  </w:style>
  <w:style w:type="paragraph" w:styleId="1">
    <w:name w:val="heading 1"/>
    <w:basedOn w:val="a"/>
    <w:next w:val="a"/>
    <w:link w:val="1Char"/>
    <w:uiPriority w:val="99"/>
    <w:qFormat/>
    <w:rsid w:val="003D1AFE"/>
    <w:pPr>
      <w:widowControl/>
      <w:spacing w:beforeLines="150" w:afterLines="100" w:line="560" w:lineRule="exact"/>
      <w:jc w:val="center"/>
      <w:outlineLvl w:val="0"/>
    </w:pPr>
    <w:rPr>
      <w:rFonts w:ascii="宋体" w:eastAsia="黑体" w:hAnsi="宋体"/>
      <w:b/>
      <w:bCs/>
      <w:kern w:val="36"/>
      <w:sz w:val="48"/>
      <w:szCs w:val="48"/>
    </w:rPr>
  </w:style>
  <w:style w:type="paragraph" w:styleId="2">
    <w:name w:val="heading 2"/>
    <w:basedOn w:val="a"/>
    <w:next w:val="a"/>
    <w:link w:val="2Char"/>
    <w:uiPriority w:val="9"/>
    <w:semiHidden/>
    <w:unhideWhenUsed/>
    <w:qFormat/>
    <w:rsid w:val="003D1AF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D1AFE"/>
    <w:rPr>
      <w:rFonts w:ascii="宋体" w:eastAsia="黑体" w:hAnsi="宋体" w:cs="Times New Roman"/>
      <w:b/>
      <w:bCs/>
      <w:kern w:val="36"/>
      <w:sz w:val="48"/>
      <w:szCs w:val="48"/>
    </w:rPr>
  </w:style>
  <w:style w:type="paragraph" w:customStyle="1" w:styleId="21">
    <w:name w:val="样式 标题 2 + 段后: 1 行"/>
    <w:basedOn w:val="2"/>
    <w:uiPriority w:val="99"/>
    <w:rsid w:val="003D1AFE"/>
    <w:pPr>
      <w:spacing w:beforeLines="100" w:before="0" w:afterLines="200" w:after="0" w:line="560" w:lineRule="exact"/>
      <w:jc w:val="center"/>
    </w:pPr>
    <w:rPr>
      <w:rFonts w:ascii="Cambria" w:eastAsia="宋体" w:hAnsi="Cambria" w:cs="宋体"/>
      <w:kern w:val="0"/>
      <w:szCs w:val="20"/>
    </w:rPr>
  </w:style>
  <w:style w:type="character" w:customStyle="1" w:styleId="2Char">
    <w:name w:val="标题 2 Char"/>
    <w:basedOn w:val="a0"/>
    <w:link w:val="2"/>
    <w:uiPriority w:val="9"/>
    <w:semiHidden/>
    <w:rsid w:val="003D1AF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1859</Characters>
  <Application>Microsoft Office Word</Application>
  <DocSecurity>0</DocSecurity>
  <Lines>15</Lines>
  <Paragraphs>4</Paragraphs>
  <ScaleCrop>false</ScaleCrop>
  <Company>china</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2016-08-31T07:09:00Z</dcterms:created>
  <dcterms:modified xsi:type="dcterms:W3CDTF">2016-08-31T07:09:00Z</dcterms:modified>
</cp:coreProperties>
</file>